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F238C" w14:textId="60DA78DA" w:rsidR="008132E9" w:rsidRDefault="008132E9" w:rsidP="008132E9">
      <w:pPr>
        <w:spacing w:line="240" w:lineRule="auto"/>
        <w:jc w:val="right"/>
        <w:rPr>
          <w:rFonts w:ascii="Corbel" w:hAnsi="Corbel"/>
          <w:bCs/>
          <w:i/>
          <w:sz w:val="22"/>
          <w:szCs w:val="22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21CEB1BC" w14:textId="73C9D837" w:rsidR="002364EF" w:rsidRPr="009C54AE" w:rsidRDefault="002364EF" w:rsidP="002E38BC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  <w:r w:rsidRPr="009C54AE">
        <w:rPr>
          <w:rFonts w:ascii="Corbel" w:hAnsi="Corbel" w:cs="Corbel"/>
          <w:b/>
          <w:bCs/>
          <w:smallCaps/>
        </w:rPr>
        <w:t>SYLABUS</w:t>
      </w:r>
    </w:p>
    <w:p w14:paraId="1185411E" w14:textId="21DAD834" w:rsidR="002364EF" w:rsidRPr="000D3AB4" w:rsidRDefault="002364EF" w:rsidP="002E38BC">
      <w:pPr>
        <w:spacing w:after="0" w:line="240" w:lineRule="exact"/>
        <w:jc w:val="center"/>
        <w:rPr>
          <w:rFonts w:ascii="Corbel" w:hAnsi="Corbel" w:cs="Corbel"/>
          <w:i/>
          <w:iCs/>
          <w:smallCaps/>
        </w:rPr>
      </w:pPr>
      <w:r w:rsidRPr="009C54AE">
        <w:rPr>
          <w:rFonts w:ascii="Corbel" w:hAnsi="Corbel" w:cs="Corbel"/>
          <w:b/>
          <w:bCs/>
          <w:smallCaps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</w:rPr>
        <w:t xml:space="preserve"> </w:t>
      </w:r>
      <w:r w:rsidRPr="000E68A5">
        <w:rPr>
          <w:rFonts w:ascii="Corbel" w:hAnsi="Corbel" w:cs="Corbel"/>
          <w:i/>
          <w:iCs/>
          <w:smallCaps/>
        </w:rPr>
        <w:t>20</w:t>
      </w:r>
      <w:r w:rsidR="009E7A85">
        <w:rPr>
          <w:rFonts w:ascii="Corbel" w:hAnsi="Corbel" w:cs="Corbel"/>
          <w:i/>
          <w:iCs/>
          <w:smallCaps/>
        </w:rPr>
        <w:t>19</w:t>
      </w:r>
      <w:r w:rsidRPr="000E68A5">
        <w:rPr>
          <w:rFonts w:ascii="Corbel" w:hAnsi="Corbel" w:cs="Corbel"/>
          <w:i/>
          <w:iCs/>
          <w:smallCaps/>
        </w:rPr>
        <w:t>-</w:t>
      </w:r>
      <w:r w:rsidRPr="000D3AB4">
        <w:rPr>
          <w:rFonts w:ascii="Corbel" w:hAnsi="Corbel" w:cs="Corbel"/>
          <w:i/>
          <w:iCs/>
          <w:smallCaps/>
        </w:rPr>
        <w:t>202</w:t>
      </w:r>
      <w:r w:rsidR="009E7A85">
        <w:rPr>
          <w:rFonts w:ascii="Corbel" w:hAnsi="Corbel" w:cs="Corbel"/>
          <w:i/>
          <w:iCs/>
          <w:smallCaps/>
        </w:rPr>
        <w:t>2</w:t>
      </w:r>
      <w:r w:rsidRPr="000D3AB4">
        <w:rPr>
          <w:rFonts w:ascii="Corbel" w:hAnsi="Corbel" w:cs="Corbel"/>
          <w:i/>
          <w:iCs/>
          <w:smallCaps/>
        </w:rPr>
        <w:t xml:space="preserve"> </w:t>
      </w:r>
    </w:p>
    <w:p w14:paraId="22DA2FA7" w14:textId="0BC429A7" w:rsidR="002364EF" w:rsidRPr="00EA4832" w:rsidRDefault="002364EF" w:rsidP="004A04C9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</w:t>
      </w:r>
      <w:r w:rsidR="009E7A85">
        <w:rPr>
          <w:rFonts w:ascii="Corbel" w:hAnsi="Corbel" w:cs="Corbel"/>
          <w:sz w:val="20"/>
          <w:szCs w:val="20"/>
        </w:rPr>
        <w:t>0</w:t>
      </w:r>
      <w:r w:rsidR="008132E9">
        <w:rPr>
          <w:rFonts w:ascii="Corbel" w:hAnsi="Corbel" w:cs="Corbel"/>
          <w:sz w:val="20"/>
          <w:szCs w:val="20"/>
        </w:rPr>
        <w:t>/</w:t>
      </w:r>
      <w:r>
        <w:rPr>
          <w:rFonts w:ascii="Corbel" w:hAnsi="Corbel" w:cs="Corbel"/>
          <w:sz w:val="20"/>
          <w:szCs w:val="20"/>
        </w:rPr>
        <w:t>202</w:t>
      </w:r>
      <w:r w:rsidR="009E7A85">
        <w:rPr>
          <w:rFonts w:ascii="Corbel" w:hAnsi="Corbel" w:cs="Corbel"/>
          <w:sz w:val="20"/>
          <w:szCs w:val="20"/>
        </w:rPr>
        <w:t>1</w:t>
      </w:r>
      <w:bookmarkStart w:id="0" w:name="_GoBack"/>
      <w:bookmarkEnd w:id="0"/>
    </w:p>
    <w:p w14:paraId="2762DA8F" w14:textId="77777777" w:rsidR="002364EF" w:rsidRPr="009C54AE" w:rsidRDefault="002364EF" w:rsidP="002E38BC">
      <w:pPr>
        <w:spacing w:after="0" w:line="240" w:lineRule="auto"/>
        <w:rPr>
          <w:rFonts w:ascii="Corbel" w:hAnsi="Corbel" w:cs="Corbel"/>
        </w:rPr>
      </w:pPr>
    </w:p>
    <w:p w14:paraId="16675EF7" w14:textId="77777777" w:rsidR="002364EF" w:rsidRPr="000D3AB4" w:rsidRDefault="002364EF" w:rsidP="002E38BC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2364EF" w:rsidRPr="009C54AE" w14:paraId="5A1E43F4" w14:textId="77777777" w:rsidTr="001D07B4">
        <w:tc>
          <w:tcPr>
            <w:tcW w:w="2694" w:type="dxa"/>
            <w:vAlign w:val="center"/>
          </w:tcPr>
          <w:p w14:paraId="16B2FA5B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B3B399E" w14:textId="77777777" w:rsidR="002364EF" w:rsidRPr="00D735DB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735D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Bankowość detaliczna i korporacyjna</w:t>
            </w:r>
          </w:p>
        </w:tc>
      </w:tr>
      <w:tr w:rsidR="002364EF" w:rsidRPr="009C54AE" w14:paraId="6A5C2975" w14:textId="77777777" w:rsidTr="001D07B4">
        <w:tc>
          <w:tcPr>
            <w:tcW w:w="2694" w:type="dxa"/>
            <w:vAlign w:val="center"/>
          </w:tcPr>
          <w:p w14:paraId="5621D4A9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AE83C3F" w14:textId="77777777" w:rsidR="002364EF" w:rsidRPr="00D735DB" w:rsidRDefault="002364EF" w:rsidP="001D07B4">
            <w:pPr>
              <w:spacing w:after="0" w:line="240" w:lineRule="auto"/>
              <w:rPr>
                <w:rFonts w:ascii="Corbel" w:hAnsi="Corbel" w:cs="Corbel"/>
                <w:color w:val="000000"/>
              </w:rPr>
            </w:pPr>
            <w:proofErr w:type="spellStart"/>
            <w:r w:rsidRPr="00D735DB">
              <w:rPr>
                <w:rFonts w:ascii="Corbel" w:hAnsi="Corbel" w:cs="Corbel"/>
                <w:sz w:val="21"/>
                <w:szCs w:val="21"/>
              </w:rPr>
              <w:t>FiR</w:t>
            </w:r>
            <w:proofErr w:type="spellEnd"/>
            <w:r w:rsidRPr="00D735DB">
              <w:rPr>
                <w:rFonts w:ascii="Corbel" w:hAnsi="Corbel" w:cs="Corbel"/>
                <w:sz w:val="21"/>
                <w:szCs w:val="21"/>
              </w:rPr>
              <w:t>/I/FiB.C.1</w:t>
            </w:r>
          </w:p>
        </w:tc>
      </w:tr>
      <w:tr w:rsidR="002364EF" w:rsidRPr="009C54AE" w14:paraId="75D5B9D0" w14:textId="77777777" w:rsidTr="001D07B4">
        <w:tc>
          <w:tcPr>
            <w:tcW w:w="2694" w:type="dxa"/>
            <w:vAlign w:val="center"/>
          </w:tcPr>
          <w:p w14:paraId="6CAF4EFC" w14:textId="77777777" w:rsidR="002364EF" w:rsidRPr="0083242D" w:rsidRDefault="002364EF" w:rsidP="001D07B4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C75FF74" w14:textId="77777777" w:rsidR="002364EF" w:rsidRPr="008132E9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132E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2364EF" w:rsidRPr="009C54AE" w14:paraId="629A09AB" w14:textId="77777777" w:rsidTr="001D07B4">
        <w:tc>
          <w:tcPr>
            <w:tcW w:w="2694" w:type="dxa"/>
            <w:vAlign w:val="center"/>
          </w:tcPr>
          <w:p w14:paraId="23465501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C37C554" w14:textId="788E08A5" w:rsidR="002364EF" w:rsidRPr="008132E9" w:rsidRDefault="00B21EB8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8132E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Finansów, KNS</w:t>
            </w:r>
          </w:p>
        </w:tc>
      </w:tr>
      <w:tr w:rsidR="002364EF" w:rsidRPr="009C54AE" w14:paraId="645620E2" w14:textId="77777777" w:rsidTr="001D07B4">
        <w:tc>
          <w:tcPr>
            <w:tcW w:w="2694" w:type="dxa"/>
            <w:vAlign w:val="center"/>
          </w:tcPr>
          <w:p w14:paraId="4A71E360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2CB631" w14:textId="77777777" w:rsidR="002364EF" w:rsidRPr="008132E9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132E9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Finanse i rachunkowość</w:t>
            </w:r>
          </w:p>
        </w:tc>
      </w:tr>
      <w:tr w:rsidR="002364EF" w:rsidRPr="009C54AE" w14:paraId="043D6B48" w14:textId="77777777" w:rsidTr="001D07B4">
        <w:tc>
          <w:tcPr>
            <w:tcW w:w="2694" w:type="dxa"/>
            <w:vAlign w:val="center"/>
          </w:tcPr>
          <w:p w14:paraId="573868F3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A1F0CDE" w14:textId="533B435F" w:rsidR="002364EF" w:rsidRPr="0083242D" w:rsidRDefault="00D735DB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2364EF"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ierwszy</w:t>
            </w:r>
          </w:p>
        </w:tc>
      </w:tr>
      <w:tr w:rsidR="002364EF" w:rsidRPr="009C54AE" w14:paraId="2695AEE2" w14:textId="77777777" w:rsidTr="001D07B4">
        <w:tc>
          <w:tcPr>
            <w:tcW w:w="2694" w:type="dxa"/>
            <w:vAlign w:val="center"/>
          </w:tcPr>
          <w:p w14:paraId="43495956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FF50A36" w14:textId="101FC847" w:rsidR="002364EF" w:rsidRPr="0083242D" w:rsidRDefault="00D735DB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</w:t>
            </w:r>
            <w:r w:rsidR="002364EF"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2364EF" w:rsidRPr="009C54AE" w14:paraId="1D1C98FE" w14:textId="77777777" w:rsidTr="001D07B4">
        <w:tc>
          <w:tcPr>
            <w:tcW w:w="2694" w:type="dxa"/>
            <w:vAlign w:val="center"/>
          </w:tcPr>
          <w:p w14:paraId="5762D1EB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1BF898" w14:textId="3F997CF0" w:rsidR="002364EF" w:rsidRPr="0083242D" w:rsidRDefault="00D735DB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2364EF"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2364EF" w:rsidRPr="009C54AE" w14:paraId="10177A30" w14:textId="77777777" w:rsidTr="001D07B4">
        <w:tc>
          <w:tcPr>
            <w:tcW w:w="2694" w:type="dxa"/>
            <w:vAlign w:val="center"/>
          </w:tcPr>
          <w:p w14:paraId="6D25FD78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579E372" w14:textId="77777777" w:rsidR="002364EF" w:rsidRPr="0083242D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3242D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</w:t>
            </w:r>
            <w:r w:rsidRPr="0083242D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/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4</w:t>
            </w:r>
          </w:p>
        </w:tc>
      </w:tr>
      <w:tr w:rsidR="002364EF" w:rsidRPr="009C54AE" w14:paraId="2F6358E2" w14:textId="77777777" w:rsidTr="001D07B4">
        <w:tc>
          <w:tcPr>
            <w:tcW w:w="2694" w:type="dxa"/>
            <w:vAlign w:val="center"/>
          </w:tcPr>
          <w:p w14:paraId="6FB73AE2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5AD9D3" w14:textId="77777777" w:rsidR="002364EF" w:rsidRPr="0083242D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735D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2364EF" w:rsidRPr="009C54AE" w14:paraId="13D1CDE2" w14:textId="77777777" w:rsidTr="001D07B4">
        <w:tc>
          <w:tcPr>
            <w:tcW w:w="2694" w:type="dxa"/>
            <w:vAlign w:val="center"/>
          </w:tcPr>
          <w:p w14:paraId="115598CA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D34A30" w14:textId="77777777" w:rsidR="002364EF" w:rsidRPr="0083242D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2364EF" w:rsidRPr="002E38BC" w14:paraId="3A44112E" w14:textId="77777777" w:rsidTr="001D07B4">
        <w:tc>
          <w:tcPr>
            <w:tcW w:w="2694" w:type="dxa"/>
            <w:vAlign w:val="center"/>
          </w:tcPr>
          <w:p w14:paraId="72D424A6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8EF46E" w14:textId="77777777" w:rsidR="002364EF" w:rsidRPr="002E38BC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83242D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2364EF" w:rsidRPr="009C54AE" w14:paraId="19A203DF" w14:textId="77777777" w:rsidTr="001D07B4">
        <w:tc>
          <w:tcPr>
            <w:tcW w:w="2694" w:type="dxa"/>
            <w:vAlign w:val="center"/>
          </w:tcPr>
          <w:p w14:paraId="6053D6CB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6415B9" w14:textId="77777777" w:rsidR="002364EF" w:rsidRPr="002E38BC" w:rsidRDefault="002364EF" w:rsidP="002E38BC">
            <w:pPr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</w:rPr>
              <w:t>Dr Mirosław Sołtysiak</w:t>
            </w:r>
            <w:r>
              <w:rPr>
                <w:rFonts w:ascii="Corbel" w:hAnsi="Corbel" w:cs="Corbel"/>
              </w:rPr>
              <w:t>, mgr Karolina Bartkowska-Mazur</w:t>
            </w:r>
          </w:p>
        </w:tc>
      </w:tr>
    </w:tbl>
    <w:p w14:paraId="777B352F" w14:textId="77777777" w:rsidR="002364EF" w:rsidRDefault="002364EF" w:rsidP="002B21A0">
      <w:pPr>
        <w:pStyle w:val="Podpunkty"/>
        <w:ind w:left="284"/>
        <w:rPr>
          <w:rFonts w:ascii="Corbel" w:hAnsi="Corbel" w:cs="Corbel"/>
          <w:sz w:val="21"/>
          <w:szCs w:val="21"/>
        </w:rPr>
      </w:pPr>
    </w:p>
    <w:p w14:paraId="4CB44E99" w14:textId="77777777" w:rsidR="002364EF" w:rsidRPr="002E38BC" w:rsidRDefault="002364EF" w:rsidP="002B21A0">
      <w:pPr>
        <w:pStyle w:val="Podpunkty"/>
        <w:ind w:left="284"/>
        <w:rPr>
          <w:rFonts w:ascii="Corbel" w:hAnsi="Corbel" w:cs="Corbel"/>
          <w:sz w:val="22"/>
          <w:szCs w:val="22"/>
        </w:rPr>
      </w:pPr>
      <w:r w:rsidRPr="002E38BC">
        <w:rPr>
          <w:rFonts w:ascii="Corbel" w:hAnsi="Corbel" w:cs="Corbel"/>
          <w:sz w:val="22"/>
          <w:szCs w:val="22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5"/>
        <w:gridCol w:w="887"/>
        <w:gridCol w:w="758"/>
        <w:gridCol w:w="841"/>
        <w:gridCol w:w="776"/>
        <w:gridCol w:w="802"/>
        <w:gridCol w:w="724"/>
        <w:gridCol w:w="922"/>
        <w:gridCol w:w="1146"/>
        <w:gridCol w:w="1503"/>
      </w:tblGrid>
      <w:tr w:rsidR="002364EF" w:rsidRPr="002E38BC" w14:paraId="7774F78C" w14:textId="77777777">
        <w:tc>
          <w:tcPr>
            <w:tcW w:w="1048" w:type="dxa"/>
          </w:tcPr>
          <w:p w14:paraId="3C382D9B" w14:textId="77777777" w:rsidR="002364EF" w:rsidRPr="002E38BC" w:rsidRDefault="002364EF">
            <w:pPr>
              <w:pStyle w:val="Nagwkitablic"/>
              <w:spacing w:after="60"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Semestr</w:t>
            </w:r>
          </w:p>
          <w:p w14:paraId="523A6DF9" w14:textId="77777777" w:rsidR="002364EF" w:rsidRPr="002E38BC" w:rsidRDefault="002364EF">
            <w:pPr>
              <w:pStyle w:val="Nagwkitablic"/>
              <w:spacing w:after="60"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2699BB0E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Wykł</w:t>
            </w:r>
            <w:proofErr w:type="spellEnd"/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72A9DA81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79307F92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Konw</w:t>
            </w:r>
            <w:proofErr w:type="spellEnd"/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549AF5DB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57D6A91A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Sem</w:t>
            </w:r>
            <w:proofErr w:type="spellEnd"/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61221C6A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74A903C5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Prakt</w:t>
            </w:r>
            <w:proofErr w:type="spellEnd"/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130280AC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620F13BC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2E38BC">
              <w:rPr>
                <w:rFonts w:ascii="Corbel" w:hAnsi="Corbel" w:cs="Corbel"/>
                <w:b/>
                <w:bCs/>
                <w:sz w:val="22"/>
                <w:szCs w:val="22"/>
                <w:lang w:eastAsia="en-US"/>
              </w:rPr>
              <w:t>Liczba pkt ECTS</w:t>
            </w:r>
          </w:p>
        </w:tc>
      </w:tr>
      <w:tr w:rsidR="002364EF" w:rsidRPr="002E38BC" w14:paraId="74EE9FDF" w14:textId="77777777">
        <w:trPr>
          <w:trHeight w:val="453"/>
        </w:trPr>
        <w:tc>
          <w:tcPr>
            <w:tcW w:w="1048" w:type="dxa"/>
            <w:vAlign w:val="center"/>
          </w:tcPr>
          <w:p w14:paraId="5D49B769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2E38BC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  <w:tc>
          <w:tcPr>
            <w:tcW w:w="921" w:type="dxa"/>
            <w:vAlign w:val="center"/>
          </w:tcPr>
          <w:p w14:paraId="700E133B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2E38BC">
              <w:rPr>
                <w:rFonts w:ascii="Corbel" w:hAnsi="Corbel" w:cs="Corbel"/>
                <w:sz w:val="22"/>
                <w:szCs w:val="22"/>
              </w:rPr>
              <w:t>15</w:t>
            </w:r>
          </w:p>
        </w:tc>
        <w:tc>
          <w:tcPr>
            <w:tcW w:w="801" w:type="dxa"/>
            <w:vAlign w:val="center"/>
          </w:tcPr>
          <w:p w14:paraId="6704A156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2E38BC">
              <w:rPr>
                <w:rFonts w:ascii="Corbel" w:hAnsi="Corbel" w:cs="Corbel"/>
                <w:sz w:val="22"/>
                <w:szCs w:val="22"/>
              </w:rPr>
              <w:t>15</w:t>
            </w:r>
          </w:p>
        </w:tc>
        <w:tc>
          <w:tcPr>
            <w:tcW w:w="851" w:type="dxa"/>
            <w:vAlign w:val="center"/>
          </w:tcPr>
          <w:p w14:paraId="37AE5774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11" w:type="dxa"/>
            <w:vAlign w:val="center"/>
          </w:tcPr>
          <w:p w14:paraId="365DD69B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27" w:type="dxa"/>
            <w:vAlign w:val="center"/>
          </w:tcPr>
          <w:p w14:paraId="48FECD80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721E957E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957" w:type="dxa"/>
            <w:vAlign w:val="center"/>
          </w:tcPr>
          <w:p w14:paraId="1A59F57E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14:paraId="082B99D9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652" w:type="dxa"/>
            <w:vAlign w:val="center"/>
          </w:tcPr>
          <w:p w14:paraId="0BB9E0B8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2E38BC">
              <w:rPr>
                <w:rFonts w:ascii="Corbel" w:hAnsi="Corbel" w:cs="Corbel"/>
                <w:sz w:val="22"/>
                <w:szCs w:val="22"/>
              </w:rPr>
              <w:t>3</w:t>
            </w:r>
          </w:p>
        </w:tc>
      </w:tr>
    </w:tbl>
    <w:p w14:paraId="01783496" w14:textId="77777777" w:rsidR="002364EF" w:rsidRPr="002E38BC" w:rsidRDefault="002364EF" w:rsidP="002B21A0">
      <w:pPr>
        <w:pStyle w:val="Podpunkty"/>
        <w:ind w:left="0"/>
        <w:rPr>
          <w:rFonts w:ascii="Corbel" w:hAnsi="Corbel" w:cs="Corbel"/>
          <w:b w:val="0"/>
          <w:bCs w:val="0"/>
          <w:sz w:val="22"/>
          <w:szCs w:val="22"/>
          <w:lang w:eastAsia="en-US"/>
        </w:rPr>
      </w:pPr>
    </w:p>
    <w:p w14:paraId="7B861AA8" w14:textId="5261EC5E" w:rsidR="002364EF" w:rsidRDefault="002364EF" w:rsidP="002B21A0">
      <w:pPr>
        <w:pStyle w:val="Punktygwne"/>
        <w:spacing w:before="0" w:after="0"/>
        <w:ind w:left="284"/>
        <w:rPr>
          <w:rFonts w:ascii="Corbel" w:hAnsi="Corbel" w:cs="Corbel"/>
          <w:sz w:val="22"/>
          <w:szCs w:val="22"/>
        </w:rPr>
      </w:pPr>
      <w:r w:rsidRPr="002E38BC">
        <w:rPr>
          <w:rFonts w:ascii="Corbel" w:hAnsi="Corbel" w:cs="Corbel"/>
          <w:sz w:val="22"/>
          <w:szCs w:val="22"/>
        </w:rPr>
        <w:t xml:space="preserve">1.2.  Sposób realizacji zajęć  </w:t>
      </w:r>
    </w:p>
    <w:p w14:paraId="11B5AB3E" w14:textId="77777777" w:rsidR="004A04C9" w:rsidRPr="002E38BC" w:rsidRDefault="004A04C9" w:rsidP="002B21A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z w:val="22"/>
          <w:szCs w:val="22"/>
        </w:rPr>
      </w:pPr>
    </w:p>
    <w:p w14:paraId="235563ED" w14:textId="77777777" w:rsidR="004A04C9" w:rsidRPr="009A27B8" w:rsidRDefault="004A04C9" w:rsidP="004A04C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F87D68">
        <w:rPr>
          <w:rFonts w:ascii="Corbel" w:hAnsi="Corbel"/>
          <w:b w:val="0"/>
          <w:smallCaps w:val="0"/>
        </w:rPr>
        <w:t>tradycyjnej lub z wykorzystaniem platformy M</w:t>
      </w:r>
      <w:r>
        <w:rPr>
          <w:rFonts w:ascii="Corbel" w:hAnsi="Corbel"/>
          <w:b w:val="0"/>
          <w:smallCaps w:val="0"/>
        </w:rPr>
        <w:t>S</w:t>
      </w:r>
      <w:r w:rsidRPr="00F87D68">
        <w:rPr>
          <w:rFonts w:ascii="Corbel" w:hAnsi="Corbel"/>
          <w:b w:val="0"/>
          <w:smallCaps w:val="0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</w:rPr>
        <w:t>Teams</w:t>
      </w:r>
      <w:proofErr w:type="spellEnd"/>
    </w:p>
    <w:p w14:paraId="1DE73339" w14:textId="77777777" w:rsidR="004A04C9" w:rsidRPr="009A27B8" w:rsidRDefault="004A04C9" w:rsidP="004A04C9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1"/>
    <w:p w14:paraId="6D8C590C" w14:textId="77777777" w:rsidR="002364EF" w:rsidRPr="002E38BC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3C410C22" w14:textId="10BDC19F" w:rsidR="002364EF" w:rsidRDefault="002364EF" w:rsidP="007942B7">
      <w:pPr>
        <w:pStyle w:val="Punktygwne"/>
        <w:spacing w:before="0" w:after="0"/>
        <w:ind w:left="284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E38BC">
        <w:rPr>
          <w:rFonts w:ascii="Corbel" w:hAnsi="Corbel" w:cs="Corbel"/>
          <w:smallCaps w:val="0"/>
          <w:sz w:val="22"/>
          <w:szCs w:val="22"/>
        </w:rPr>
        <w:t xml:space="preserve">1.3 Forma zaliczenia przedmiotu /modułu (z toku) </w:t>
      </w:r>
      <w:r w:rsidRPr="002E38BC">
        <w:rPr>
          <w:rFonts w:ascii="Corbel" w:hAnsi="Corbel" w:cs="Corbel"/>
          <w:b w:val="0"/>
          <w:bCs w:val="0"/>
          <w:smallCaps w:val="0"/>
          <w:sz w:val="22"/>
          <w:szCs w:val="22"/>
        </w:rPr>
        <w:t>(egzamin, zaliczenie z oceną, zaliczenie bez oceny)</w:t>
      </w:r>
    </w:p>
    <w:p w14:paraId="5AB9B59F" w14:textId="77777777" w:rsidR="004A04C9" w:rsidRPr="002E38BC" w:rsidRDefault="004A04C9" w:rsidP="007942B7">
      <w:pPr>
        <w:pStyle w:val="Punktygwne"/>
        <w:spacing w:before="0" w:after="0"/>
        <w:ind w:left="284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267B480C" w14:textId="6C298AC6" w:rsidR="002364EF" w:rsidRPr="002068F8" w:rsidRDefault="002364EF" w:rsidP="002068F8">
      <w:pPr>
        <w:pStyle w:val="Punktygwne"/>
        <w:spacing w:before="0" w:after="0"/>
        <w:ind w:firstLine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068F8">
        <w:rPr>
          <w:rFonts w:ascii="Corbel" w:hAnsi="Corbel" w:cs="Corbel"/>
          <w:smallCaps w:val="0"/>
          <w:sz w:val="22"/>
          <w:szCs w:val="22"/>
        </w:rPr>
        <w:t>Egzamin</w:t>
      </w:r>
    </w:p>
    <w:p w14:paraId="6287CA13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0E603351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2068F8">
        <w:rPr>
          <w:rFonts w:ascii="Corbel" w:hAnsi="Corbel" w:cs="Corbel"/>
          <w:smallCaps w:val="0"/>
          <w:sz w:val="22"/>
          <w:szCs w:val="22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2364EF" w:rsidRPr="002068F8" w14:paraId="7E8FDF71" w14:textId="77777777">
        <w:tc>
          <w:tcPr>
            <w:tcW w:w="9670" w:type="dxa"/>
          </w:tcPr>
          <w:p w14:paraId="1B9D59EF" w14:textId="77777777" w:rsidR="002364EF" w:rsidRPr="002068F8" w:rsidRDefault="002364EF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Student powinien posiadać wiedzę z mikro i makroekonomii. Ponadto wymagana jest znajomość aktualnych wydarzeń ze sfery bankowości.</w:t>
            </w:r>
          </w:p>
        </w:tc>
      </w:tr>
    </w:tbl>
    <w:p w14:paraId="707BE60A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5C34EE5D" w14:textId="77777777" w:rsidR="002364EF" w:rsidRPr="0083242D" w:rsidRDefault="002364EF" w:rsidP="002068F8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83242D">
        <w:rPr>
          <w:rFonts w:ascii="Corbel" w:hAnsi="Corbel" w:cs="Corbel"/>
          <w:sz w:val="22"/>
          <w:szCs w:val="22"/>
        </w:rPr>
        <w:t>3. CELE, EFEKTY UCZENIA SIĘ, TREŚCI PROGRAMOWE I STOSOWANE METODY DYDAKTYCZNE</w:t>
      </w:r>
    </w:p>
    <w:p w14:paraId="75A952CE" w14:textId="77777777" w:rsidR="002364EF" w:rsidRDefault="002364EF" w:rsidP="002B21A0">
      <w:pPr>
        <w:pStyle w:val="Podpunkty"/>
        <w:rPr>
          <w:rFonts w:ascii="Corbel" w:hAnsi="Corbel" w:cs="Corbel"/>
          <w:sz w:val="22"/>
          <w:szCs w:val="22"/>
        </w:rPr>
      </w:pPr>
    </w:p>
    <w:p w14:paraId="7BDA8DB0" w14:textId="77777777" w:rsidR="002364EF" w:rsidRPr="002068F8" w:rsidRDefault="002364EF" w:rsidP="002B21A0">
      <w:pPr>
        <w:pStyle w:val="Podpunkty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3.1 Cele przedmiotu/modułu </w:t>
      </w:r>
    </w:p>
    <w:p w14:paraId="0A7A85A9" w14:textId="77777777" w:rsidR="002364EF" w:rsidRPr="002068F8" w:rsidRDefault="002364EF" w:rsidP="002B21A0">
      <w:pPr>
        <w:pStyle w:val="Podpunkty"/>
        <w:rPr>
          <w:rFonts w:ascii="Corbel" w:hAnsi="Corbel" w:cs="Corbel"/>
          <w:b w:val="0"/>
          <w:bCs w:val="0"/>
          <w:i/>
          <w:iCs/>
          <w:sz w:val="22"/>
          <w:szCs w:val="22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2364EF" w:rsidRPr="002068F8" w14:paraId="4FA74E79" w14:textId="77777777">
        <w:tc>
          <w:tcPr>
            <w:tcW w:w="851" w:type="dxa"/>
            <w:vAlign w:val="center"/>
          </w:tcPr>
          <w:p w14:paraId="19666D74" w14:textId="77777777" w:rsidR="002364EF" w:rsidRPr="002068F8" w:rsidRDefault="002364E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981B271" w14:textId="77777777" w:rsidR="002364EF" w:rsidRPr="002068F8" w:rsidRDefault="002364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eastAsia="Batang" w:hAnsi="Corbel"/>
                <w:lang w:eastAsia="ko-KR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Zapoznanie studenta z wiedzą dotyczącą struktury i funkcjonowania systemu bankowego, zasad działalności operacyjnej banków, ryzyka bankowego, rodzajów bankowości i usług finansowych banków </w:t>
            </w:r>
          </w:p>
        </w:tc>
      </w:tr>
      <w:tr w:rsidR="002364EF" w:rsidRPr="002068F8" w14:paraId="55405782" w14:textId="77777777">
        <w:tc>
          <w:tcPr>
            <w:tcW w:w="851" w:type="dxa"/>
            <w:vAlign w:val="center"/>
          </w:tcPr>
          <w:p w14:paraId="607A655A" w14:textId="77777777" w:rsidR="002364EF" w:rsidRPr="002068F8" w:rsidRDefault="002364E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528F0F07" w14:textId="77777777" w:rsidR="002364EF" w:rsidRPr="002068F8" w:rsidRDefault="002364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Wiedza na temat działalności banków detalicznych i korporacyjnych, oferty usług finansowych tego rodzaju banków. Umiejętność ich klasyfikacji i charakterystyki oraz umiejętność posługiwania się podstawowym aparatem pojęciowym w obszarze bankowości detalicznej i korporacyjnej.</w:t>
            </w:r>
          </w:p>
        </w:tc>
      </w:tr>
      <w:tr w:rsidR="002364EF" w:rsidRPr="002068F8" w14:paraId="3795B572" w14:textId="77777777">
        <w:tc>
          <w:tcPr>
            <w:tcW w:w="851" w:type="dxa"/>
            <w:vAlign w:val="center"/>
          </w:tcPr>
          <w:p w14:paraId="2069F982" w14:textId="77777777" w:rsidR="002364EF" w:rsidRPr="002068F8" w:rsidRDefault="002364EF">
            <w:pPr>
              <w:pStyle w:val="Odpowiedzi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14:paraId="1C95BD8E" w14:textId="77777777" w:rsidR="002364EF" w:rsidRPr="002068F8" w:rsidRDefault="002364E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Wypracowanie umiejętności w zakresie analizowania i interpretacji informacji i danych liczbowych dotyczących bankowości detalicznej i korporacyjnej</w:t>
            </w:r>
          </w:p>
        </w:tc>
      </w:tr>
    </w:tbl>
    <w:p w14:paraId="055EAD7C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</w:pPr>
    </w:p>
    <w:p w14:paraId="1C322413" w14:textId="77777777" w:rsidR="002364EF" w:rsidRPr="0083242D" w:rsidRDefault="002364EF" w:rsidP="002068F8">
      <w:pPr>
        <w:spacing w:after="0" w:line="240" w:lineRule="auto"/>
        <w:ind w:left="426"/>
        <w:rPr>
          <w:rFonts w:ascii="Corbel" w:hAnsi="Corbel" w:cs="Corbel"/>
          <w:sz w:val="22"/>
          <w:szCs w:val="22"/>
        </w:rPr>
      </w:pPr>
      <w:r w:rsidRPr="0083242D">
        <w:rPr>
          <w:rFonts w:ascii="Corbel" w:hAnsi="Corbel" w:cs="Corbel"/>
          <w:b/>
          <w:bCs/>
          <w:sz w:val="22"/>
          <w:szCs w:val="22"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9"/>
        <w:gridCol w:w="5778"/>
        <w:gridCol w:w="1841"/>
      </w:tblGrid>
      <w:tr w:rsidR="002364EF" w:rsidRPr="001375AF" w14:paraId="35DB31A5" w14:textId="77777777" w:rsidTr="0EF9BC69">
        <w:tc>
          <w:tcPr>
            <w:tcW w:w="1669" w:type="dxa"/>
            <w:vAlign w:val="center"/>
          </w:tcPr>
          <w:p w14:paraId="4A9E9EF4" w14:textId="77777777" w:rsidR="002364EF" w:rsidRPr="002068F8" w:rsidRDefault="002364EF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smallCaps w:val="0"/>
                <w:sz w:val="22"/>
                <w:szCs w:val="22"/>
              </w:rPr>
              <w:t>EK</w:t>
            </w: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(efekt uczenia się)</w:t>
            </w:r>
          </w:p>
        </w:tc>
        <w:tc>
          <w:tcPr>
            <w:tcW w:w="5778" w:type="dxa"/>
            <w:vAlign w:val="center"/>
          </w:tcPr>
          <w:p w14:paraId="4244DD5E" w14:textId="77777777" w:rsidR="002364EF" w:rsidRPr="002068F8" w:rsidRDefault="002364EF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Treść efektu uczenia się zdefiniowanego dla przedmiotu </w:t>
            </w:r>
          </w:p>
        </w:tc>
        <w:tc>
          <w:tcPr>
            <w:tcW w:w="1841" w:type="dxa"/>
            <w:vAlign w:val="center"/>
          </w:tcPr>
          <w:p w14:paraId="66ED3A1C" w14:textId="77777777" w:rsidR="002364EF" w:rsidRPr="002068F8" w:rsidRDefault="002364EF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Odniesienie do efektów  kierunkowych </w:t>
            </w:r>
          </w:p>
        </w:tc>
      </w:tr>
      <w:tr w:rsidR="002364EF" w:rsidRPr="001375AF" w14:paraId="69670F01" w14:textId="77777777" w:rsidTr="0EF9BC69">
        <w:tc>
          <w:tcPr>
            <w:tcW w:w="1669" w:type="dxa"/>
          </w:tcPr>
          <w:p w14:paraId="350C48E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5778" w:type="dxa"/>
          </w:tcPr>
          <w:p w14:paraId="3354B396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Student charakteryzuje bank jako instytucję finansową oraz system bankowy od strony instytucjonalnej, produktowej i sektorowej. Zna specyfikę produktową i adresatów usług bankowości detalicznej i korporacyjnej. Rozpoznaje powiązania między segmentami sektora bankowego. Dostrzega i charakteryzuje procesy integracji i specjalizacji w sferze usług finansowych.</w:t>
            </w:r>
          </w:p>
        </w:tc>
        <w:tc>
          <w:tcPr>
            <w:tcW w:w="1841" w:type="dxa"/>
          </w:tcPr>
          <w:p w14:paraId="537A3EC8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K_W02</w:t>
            </w:r>
          </w:p>
          <w:p w14:paraId="13C76ED4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K_W10</w:t>
            </w:r>
          </w:p>
          <w:p w14:paraId="64F36B44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</w:p>
        </w:tc>
      </w:tr>
      <w:tr w:rsidR="002364EF" w:rsidRPr="001375AF" w14:paraId="125F140D" w14:textId="77777777" w:rsidTr="0EF9BC69">
        <w:tc>
          <w:tcPr>
            <w:tcW w:w="1669" w:type="dxa"/>
          </w:tcPr>
          <w:p w14:paraId="31B78A8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778" w:type="dxa"/>
          </w:tcPr>
          <w:p w14:paraId="69495B57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Klasyfikuje i charakteryzuje usługi bankowości detalicznej i korporacyjnej. Posługuje się aparatem pojęciowym i metodycznym w zakresie usług finansowych oraz ekonomiki banków detalicznych i korporacyjnych.</w:t>
            </w:r>
          </w:p>
        </w:tc>
        <w:tc>
          <w:tcPr>
            <w:tcW w:w="1841" w:type="dxa"/>
          </w:tcPr>
          <w:p w14:paraId="3E4208B3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K_U01</w:t>
            </w:r>
          </w:p>
          <w:p w14:paraId="06548AAE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K_U03</w:t>
            </w:r>
          </w:p>
          <w:p w14:paraId="7458EBE8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</w:p>
        </w:tc>
      </w:tr>
      <w:tr w:rsidR="002364EF" w:rsidRPr="001375AF" w14:paraId="62A62D1F" w14:textId="77777777" w:rsidTr="0EF9BC69">
        <w:tc>
          <w:tcPr>
            <w:tcW w:w="1669" w:type="dxa"/>
          </w:tcPr>
          <w:p w14:paraId="6490F86F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778" w:type="dxa"/>
          </w:tcPr>
          <w:p w14:paraId="28979FA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Charakteryzuje rynek usług bankowości detalicznej i korporacyjnej od strony popytowej i podażowej.</w:t>
            </w:r>
          </w:p>
        </w:tc>
        <w:tc>
          <w:tcPr>
            <w:tcW w:w="1841" w:type="dxa"/>
          </w:tcPr>
          <w:p w14:paraId="5BD3AD24" w14:textId="112C4232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EF9BC69">
              <w:rPr>
                <w:rFonts w:ascii="Corbel" w:hAnsi="Corbel" w:cs="Corbel"/>
                <w:color w:val="auto"/>
                <w:sz w:val="22"/>
                <w:szCs w:val="22"/>
              </w:rPr>
              <w:t>K_U1</w:t>
            </w:r>
            <w:r w:rsidR="07F2CB45" w:rsidRPr="0EF9BC69">
              <w:rPr>
                <w:rFonts w:ascii="Corbel" w:hAnsi="Corbel" w:cs="Corbel"/>
                <w:color w:val="auto"/>
                <w:sz w:val="22"/>
                <w:szCs w:val="22"/>
              </w:rPr>
              <w:t>0</w:t>
            </w:r>
          </w:p>
        </w:tc>
      </w:tr>
      <w:tr w:rsidR="002364EF" w:rsidRPr="001375AF" w14:paraId="2076A417" w14:textId="77777777" w:rsidTr="0EF9BC69">
        <w:tc>
          <w:tcPr>
            <w:tcW w:w="1669" w:type="dxa"/>
          </w:tcPr>
          <w:p w14:paraId="1C1DDF7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5778" w:type="dxa"/>
          </w:tcPr>
          <w:p w14:paraId="4111E27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Prezentuje aktywną i twórczą postawę w formułowaniu własnych opinii i rozstrzygnięć.</w:t>
            </w:r>
          </w:p>
        </w:tc>
        <w:tc>
          <w:tcPr>
            <w:tcW w:w="1841" w:type="dxa"/>
          </w:tcPr>
          <w:p w14:paraId="6628F492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K_K03</w:t>
            </w:r>
          </w:p>
          <w:p w14:paraId="4C3B77FB" w14:textId="77777777" w:rsidR="002364EF" w:rsidRPr="002068F8" w:rsidRDefault="002364EF" w:rsidP="006C1B55">
            <w:pPr>
              <w:pStyle w:val="Default"/>
              <w:jc w:val="center"/>
              <w:rPr>
                <w:rFonts w:ascii="Corbel" w:hAnsi="Corbel" w:cs="Corbel"/>
                <w:b/>
                <w:bCs/>
                <w:smallCaps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K_K06</w:t>
            </w:r>
          </w:p>
        </w:tc>
      </w:tr>
    </w:tbl>
    <w:p w14:paraId="0281B9E9" w14:textId="77777777" w:rsidR="002364EF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z w:val="21"/>
          <w:szCs w:val="21"/>
        </w:rPr>
      </w:pPr>
    </w:p>
    <w:p w14:paraId="45C5D1EC" w14:textId="77777777" w:rsidR="002364EF" w:rsidRPr="002068F8" w:rsidRDefault="002364EF" w:rsidP="002B21A0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2"/>
          <w:szCs w:val="22"/>
        </w:rPr>
      </w:pPr>
      <w:r w:rsidRPr="002068F8">
        <w:rPr>
          <w:rFonts w:ascii="Corbel" w:hAnsi="Corbel" w:cs="Corbel"/>
          <w:b/>
          <w:bCs/>
          <w:sz w:val="22"/>
          <w:szCs w:val="22"/>
        </w:rPr>
        <w:t xml:space="preserve">3.3 Treści programowe </w:t>
      </w:r>
    </w:p>
    <w:p w14:paraId="51132001" w14:textId="77777777" w:rsidR="002364EF" w:rsidRPr="002068F8" w:rsidRDefault="002364EF" w:rsidP="002B21A0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2364EF" w:rsidRPr="002068F8" w14:paraId="05350843" w14:textId="77777777">
        <w:tc>
          <w:tcPr>
            <w:tcW w:w="9060" w:type="dxa"/>
          </w:tcPr>
          <w:p w14:paraId="65BFABF7" w14:textId="77777777" w:rsidR="002364EF" w:rsidRPr="002068F8" w:rsidRDefault="002364EF">
            <w:pPr>
              <w:spacing w:before="40" w:after="4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Treści merytoryczne</w:t>
            </w:r>
          </w:p>
        </w:tc>
      </w:tr>
      <w:tr w:rsidR="002364EF" w:rsidRPr="002068F8" w14:paraId="08BD2C74" w14:textId="77777777">
        <w:tc>
          <w:tcPr>
            <w:tcW w:w="9060" w:type="dxa"/>
          </w:tcPr>
          <w:p w14:paraId="5E8AAA89" w14:textId="77777777" w:rsidR="002364EF" w:rsidRPr="002068F8" w:rsidRDefault="002364EF">
            <w:pPr>
              <w:spacing w:before="40" w:after="4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Banki jako instytucje pośrednictwa finansowego - klasyfikacja i cechy banków. Banki detaliczne i banki korporacyjne. Kierunki rozwoju współczesnej bankowości detalicznej i korporacyjnej. Istota kategorii: </w:t>
            </w:r>
            <w:proofErr w:type="spellStart"/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>consumer</w:t>
            </w:r>
            <w:proofErr w:type="spellEnd"/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>finance</w:t>
            </w:r>
            <w:proofErr w:type="spellEnd"/>
            <w:r w:rsidRPr="002068F8">
              <w:rPr>
                <w:rFonts w:ascii="Corbel" w:hAnsi="Corbel" w:cs="Corbel"/>
                <w:sz w:val="22"/>
                <w:szCs w:val="22"/>
              </w:rPr>
              <w:t xml:space="preserve">, </w:t>
            </w:r>
            <w:proofErr w:type="spellStart"/>
            <w:r w:rsidRPr="002068F8">
              <w:rPr>
                <w:rFonts w:ascii="Corbel" w:eastAsia="Batang" w:hAnsi="Corbel" w:cs="Corbel"/>
                <w:i/>
                <w:iCs/>
                <w:sz w:val="22"/>
                <w:szCs w:val="22"/>
                <w:lang w:eastAsia="ko-KR"/>
              </w:rPr>
              <w:t>private</w:t>
            </w:r>
            <w:proofErr w:type="spellEnd"/>
            <w:r w:rsidRPr="002068F8">
              <w:rPr>
                <w:rFonts w:ascii="Corbel" w:eastAsia="Batang" w:hAnsi="Corbel" w:cs="Corbel"/>
                <w:i/>
                <w:iCs/>
                <w:sz w:val="22"/>
                <w:szCs w:val="22"/>
                <w:lang w:eastAsia="ko-KR"/>
              </w:rPr>
              <w:t xml:space="preserve"> banking</w:t>
            </w: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 xml:space="preserve">, </w:t>
            </w:r>
            <w:proofErr w:type="spellStart"/>
            <w:r w:rsidRPr="002068F8">
              <w:rPr>
                <w:rFonts w:ascii="Corbel" w:eastAsia="Batang" w:hAnsi="Corbel" w:cs="Corbel"/>
                <w:i/>
                <w:iCs/>
                <w:sz w:val="22"/>
                <w:szCs w:val="22"/>
                <w:lang w:eastAsia="ko-KR"/>
              </w:rPr>
              <w:t>bancassurance</w:t>
            </w:r>
            <w:proofErr w:type="spellEnd"/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.</w:t>
            </w:r>
          </w:p>
        </w:tc>
      </w:tr>
      <w:tr w:rsidR="002364EF" w:rsidRPr="002068F8" w14:paraId="47787D75" w14:textId="77777777">
        <w:tc>
          <w:tcPr>
            <w:tcW w:w="9060" w:type="dxa"/>
          </w:tcPr>
          <w:p w14:paraId="5C5F1A15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Sektor bankowości detalicznej w Polsce (wielkość sektora, rodzaje banków i ich specyfika, oferta usług bankowych, dynamika rozwoju sektora). Rozwój bankowości detalicznej a problemy wykluczenia finansowego, odpowiedzialnego kredytowania, nadmiernego zadłużenia gospodarstw domowych, sektor </w:t>
            </w:r>
            <w:proofErr w:type="spellStart"/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>shadow</w:t>
            </w:r>
            <w:proofErr w:type="spellEnd"/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 xml:space="preserve"> banking</w:t>
            </w:r>
            <w:r w:rsidRPr="002068F8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</w:tr>
      <w:tr w:rsidR="002364EF" w:rsidRPr="002068F8" w14:paraId="4BB56A99" w14:textId="77777777">
        <w:tc>
          <w:tcPr>
            <w:tcW w:w="9060" w:type="dxa"/>
          </w:tcPr>
          <w:p w14:paraId="7471C592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Segmentacja klientów detalicznych. Produkty kredytowe, oszczędnościowe i inwestycyjne kierowane do osób fizycznych (</w:t>
            </w: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 xml:space="preserve">oferta standardowa i </w:t>
            </w:r>
            <w:proofErr w:type="spellStart"/>
            <w:r w:rsidRPr="002068F8">
              <w:rPr>
                <w:rFonts w:ascii="Corbel" w:eastAsia="Batang" w:hAnsi="Corbel" w:cs="Corbel"/>
                <w:i/>
                <w:iCs/>
                <w:sz w:val="22"/>
                <w:szCs w:val="22"/>
                <w:lang w:eastAsia="ko-KR"/>
              </w:rPr>
              <w:t>wealth</w:t>
            </w:r>
            <w:proofErr w:type="spellEnd"/>
            <w:r w:rsidRPr="002068F8">
              <w:rPr>
                <w:rFonts w:ascii="Corbel" w:eastAsia="Batang" w:hAnsi="Corbel" w:cs="Corbel"/>
                <w:i/>
                <w:iCs/>
                <w:sz w:val="22"/>
                <w:szCs w:val="22"/>
                <w:lang w:eastAsia="ko-KR"/>
              </w:rPr>
              <w:t xml:space="preserve"> management</w:t>
            </w: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 xml:space="preserve">). Usługi płatnicze i rozliczeniowe dla segmentu detalicznego. </w:t>
            </w:r>
          </w:p>
        </w:tc>
      </w:tr>
      <w:tr w:rsidR="002364EF" w:rsidRPr="002068F8" w14:paraId="3ED9B494" w14:textId="77777777">
        <w:tc>
          <w:tcPr>
            <w:tcW w:w="9060" w:type="dxa"/>
          </w:tcPr>
          <w:p w14:paraId="09C75377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Bankowość korporacyjna. Potrzeby współczesnego przedsiębiorstwa w zakresie usług finansowych a oferta produktowa banków. Finansowanie działalności bieżącej i inwestycyjnej przedsiębiorstw (kredyty bankowe, leasing, inne usługi finansowania). </w:t>
            </w:r>
          </w:p>
        </w:tc>
      </w:tr>
      <w:tr w:rsidR="002364EF" w:rsidRPr="002068F8" w14:paraId="066405E2" w14:textId="77777777">
        <w:tc>
          <w:tcPr>
            <w:tcW w:w="9060" w:type="dxa"/>
          </w:tcPr>
          <w:p w14:paraId="40F15C05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lastRenderedPageBreak/>
              <w:t>Oferta banków korporacyjnych w obszarze zarządzanie płynnością przedsiębiorstwa, realizacji transakcji płatniczych bezgotówkowych, obsługi transakcji walutowych, obsługi transakcji gotówkowych. Usługi w zakresie doradztwa inwestycyjnego i zarządzania ryzykiem dla przedsiębiorstw.</w:t>
            </w:r>
          </w:p>
        </w:tc>
      </w:tr>
    </w:tbl>
    <w:p w14:paraId="46426F51" w14:textId="77777777" w:rsidR="002364EF" w:rsidRPr="002068F8" w:rsidRDefault="002364EF" w:rsidP="002B21A0">
      <w:pPr>
        <w:pStyle w:val="Akapitzlist"/>
        <w:spacing w:after="120" w:line="240" w:lineRule="auto"/>
        <w:jc w:val="both"/>
        <w:rPr>
          <w:rFonts w:ascii="Corbel" w:hAnsi="Corbel" w:cs="Corbel"/>
          <w:sz w:val="22"/>
          <w:szCs w:val="22"/>
        </w:rPr>
      </w:pPr>
    </w:p>
    <w:p w14:paraId="7DB54373" w14:textId="77777777" w:rsidR="002364EF" w:rsidRPr="002068F8" w:rsidRDefault="002364EF" w:rsidP="002B21A0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Problematyka ćwiczeń audytoryjnych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2364EF" w:rsidRPr="002068F8" w14:paraId="73260B08" w14:textId="77777777">
        <w:tc>
          <w:tcPr>
            <w:tcW w:w="9288" w:type="dxa"/>
          </w:tcPr>
          <w:p w14:paraId="2DE9887E" w14:textId="77777777" w:rsidR="002364EF" w:rsidRPr="002068F8" w:rsidRDefault="002364EF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Treści merytoryczne</w:t>
            </w:r>
          </w:p>
        </w:tc>
      </w:tr>
      <w:tr w:rsidR="002364EF" w:rsidRPr="002068F8" w14:paraId="5E6492E6" w14:textId="77777777">
        <w:tc>
          <w:tcPr>
            <w:tcW w:w="9288" w:type="dxa"/>
          </w:tcPr>
          <w:p w14:paraId="15823A21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Działalność operacyjna banków – operacje a czynności bankowe. Segmentacja produktów i klientów w banku.</w:t>
            </w:r>
          </w:p>
          <w:p w14:paraId="3FFCC028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Przychody i koszty działalności operacyjnej.</w:t>
            </w:r>
          </w:p>
        </w:tc>
      </w:tr>
      <w:tr w:rsidR="002364EF" w:rsidRPr="002068F8" w14:paraId="4F1B2072" w14:textId="77777777">
        <w:tc>
          <w:tcPr>
            <w:tcW w:w="9288" w:type="dxa"/>
          </w:tcPr>
          <w:p w14:paraId="53646FA0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Potrzeby finansowe gospodarstw domowych a oferta kredytowa banków. Kredyty konsumpcyjne i inne usługi w zakresie finansowania konsumpcji osób fizycznych. </w:t>
            </w:r>
          </w:p>
        </w:tc>
      </w:tr>
      <w:tr w:rsidR="002364EF" w:rsidRPr="002068F8" w14:paraId="69458351" w14:textId="77777777">
        <w:tc>
          <w:tcPr>
            <w:tcW w:w="9288" w:type="dxa"/>
          </w:tcPr>
          <w:p w14:paraId="5EB88EA7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Kredyty hipoteczne i bankowość hipoteczna. Rozwój rynku kredytów mieszkaniowych w Polsce. Regulacyjne i ekonomiczne uwarunkowania hipotecznych kredytów mieszkaniowych.</w:t>
            </w:r>
          </w:p>
        </w:tc>
      </w:tr>
      <w:tr w:rsidR="002364EF" w:rsidRPr="002068F8" w14:paraId="63E34E3F" w14:textId="77777777">
        <w:tc>
          <w:tcPr>
            <w:tcW w:w="9288" w:type="dxa"/>
          </w:tcPr>
          <w:p w14:paraId="2ACBB4C9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Procedura kredytowa w banku. Ryzyko kredytowe (metody oceny zdolności kredytowej, </w:t>
            </w:r>
            <w:proofErr w:type="spellStart"/>
            <w:r w:rsidRPr="002068F8">
              <w:rPr>
                <w:rFonts w:ascii="Corbel" w:hAnsi="Corbel" w:cs="Corbel"/>
                <w:sz w:val="22"/>
                <w:szCs w:val="22"/>
              </w:rPr>
              <w:t>credit</w:t>
            </w:r>
            <w:proofErr w:type="spellEnd"/>
            <w:r w:rsidRPr="002068F8">
              <w:rPr>
                <w:rFonts w:ascii="Corbel" w:hAnsi="Corbel" w:cs="Corbel"/>
                <w:sz w:val="22"/>
                <w:szCs w:val="22"/>
              </w:rPr>
              <w:t xml:space="preserve"> </w:t>
            </w:r>
            <w:proofErr w:type="spellStart"/>
            <w:r w:rsidRPr="002068F8">
              <w:rPr>
                <w:rFonts w:ascii="Corbel" w:hAnsi="Corbel" w:cs="Corbel"/>
                <w:sz w:val="22"/>
                <w:szCs w:val="22"/>
              </w:rPr>
              <w:t>scoring</w:t>
            </w:r>
            <w:proofErr w:type="spellEnd"/>
            <w:r w:rsidRPr="002068F8">
              <w:rPr>
                <w:rFonts w:ascii="Corbel" w:hAnsi="Corbel" w:cs="Corbel"/>
                <w:sz w:val="22"/>
                <w:szCs w:val="22"/>
              </w:rPr>
              <w:t>, bazy informacji kredytowej).</w:t>
            </w:r>
          </w:p>
        </w:tc>
      </w:tr>
      <w:tr w:rsidR="002364EF" w:rsidRPr="002068F8" w14:paraId="336838EE" w14:textId="77777777">
        <w:tc>
          <w:tcPr>
            <w:tcW w:w="9288" w:type="dxa"/>
          </w:tcPr>
          <w:p w14:paraId="223DAED0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Usługi prowadzenia rachunków bankowych, produkty związane  z prowadzeniem rachunków.</w:t>
            </w:r>
          </w:p>
        </w:tc>
      </w:tr>
      <w:tr w:rsidR="002364EF" w:rsidRPr="002068F8" w14:paraId="444B955A" w14:textId="77777777">
        <w:tc>
          <w:tcPr>
            <w:tcW w:w="9288" w:type="dxa"/>
          </w:tcPr>
          <w:p w14:paraId="405CD45C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Leasing i factoring w ofercie banku. Bankowe biura maklerskie.</w:t>
            </w:r>
          </w:p>
        </w:tc>
      </w:tr>
      <w:tr w:rsidR="002364EF" w:rsidRPr="002068F8" w14:paraId="75F77B9C" w14:textId="77777777">
        <w:tc>
          <w:tcPr>
            <w:tcW w:w="9288" w:type="dxa"/>
          </w:tcPr>
          <w:p w14:paraId="22AD85EC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Usługi banków w zakresie zarządzanie płynnością przedsiębiorstwa, realizacji transakcji bezgotówkowych w walucie krajowej i obcej.</w:t>
            </w:r>
          </w:p>
        </w:tc>
      </w:tr>
    </w:tbl>
    <w:p w14:paraId="324DF773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741AC047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>3.4 Metody dydaktyczne</w:t>
      </w:r>
    </w:p>
    <w:p w14:paraId="414F6B43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068F8">
        <w:rPr>
          <w:rFonts w:ascii="Corbel" w:hAnsi="Corbel" w:cs="Corbel"/>
          <w:b w:val="0"/>
          <w:bCs w:val="0"/>
          <w:smallCaps w:val="0"/>
          <w:sz w:val="22"/>
          <w:szCs w:val="22"/>
        </w:rPr>
        <w:t>Wykład z prezentacją multimedialną</w:t>
      </w:r>
    </w:p>
    <w:p w14:paraId="1ED2D2C4" w14:textId="77777777" w:rsidR="002364EF" w:rsidRPr="002068F8" w:rsidRDefault="002364EF" w:rsidP="002B21A0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068F8">
        <w:rPr>
          <w:rFonts w:ascii="Corbel" w:hAnsi="Corbel" w:cs="Corbel"/>
          <w:b w:val="0"/>
          <w:bCs w:val="0"/>
          <w:smallCaps w:val="0"/>
          <w:sz w:val="22"/>
          <w:szCs w:val="22"/>
        </w:rPr>
        <w:t>Ćwiczenia: dyskusja, analiza i interpretacja aktów prawnych oraz tekstów źródłowych, rozwiązywanie zadań i praca w grupach.</w:t>
      </w:r>
    </w:p>
    <w:p w14:paraId="18EC727C" w14:textId="77777777" w:rsidR="002364EF" w:rsidRPr="002068F8" w:rsidRDefault="002364EF" w:rsidP="002B21A0">
      <w:pPr>
        <w:pStyle w:val="Punktygwne"/>
        <w:spacing w:before="0" w:after="0"/>
        <w:jc w:val="both"/>
        <w:rPr>
          <w:rFonts w:ascii="Corbel" w:hAnsi="Corbel" w:cs="Corbel"/>
          <w:sz w:val="22"/>
          <w:szCs w:val="22"/>
        </w:rPr>
      </w:pPr>
    </w:p>
    <w:p w14:paraId="41F0CB40" w14:textId="77777777" w:rsidR="002364EF" w:rsidRPr="002068F8" w:rsidRDefault="002364EF" w:rsidP="002B21A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4. METODY I KRYTERIA OCENY </w:t>
      </w:r>
    </w:p>
    <w:p w14:paraId="4DB225AC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>4.1 Sposoby weryfikacji efektów kształcenia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3"/>
        <w:gridCol w:w="5485"/>
        <w:gridCol w:w="2106"/>
      </w:tblGrid>
      <w:tr w:rsidR="002364EF" w:rsidRPr="002068F8" w14:paraId="5DBF0A4D" w14:textId="77777777">
        <w:tc>
          <w:tcPr>
            <w:tcW w:w="1843" w:type="dxa"/>
            <w:vAlign w:val="center"/>
          </w:tcPr>
          <w:p w14:paraId="465C2601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582ACB21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color w:val="000000"/>
                <w:sz w:val="22"/>
                <w:szCs w:val="22"/>
              </w:rPr>
              <w:t>Metody oceny efektów kształcenia</w:t>
            </w:r>
          </w:p>
          <w:p w14:paraId="7CBF97DD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</w:p>
        </w:tc>
        <w:tc>
          <w:tcPr>
            <w:tcW w:w="2126" w:type="dxa"/>
            <w:vAlign w:val="center"/>
          </w:tcPr>
          <w:p w14:paraId="5D31E22F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Forma zajęć dydaktycznych </w:t>
            </w:r>
          </w:p>
        </w:tc>
      </w:tr>
      <w:tr w:rsidR="002364EF" w:rsidRPr="002068F8" w14:paraId="339271D3" w14:textId="77777777">
        <w:tc>
          <w:tcPr>
            <w:tcW w:w="1843" w:type="dxa"/>
          </w:tcPr>
          <w:p w14:paraId="04FB1507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EK_01</w:t>
            </w:r>
          </w:p>
        </w:tc>
        <w:tc>
          <w:tcPr>
            <w:tcW w:w="5670" w:type="dxa"/>
          </w:tcPr>
          <w:p w14:paraId="2F6253FC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egzamin pisemny</w:t>
            </w:r>
          </w:p>
        </w:tc>
        <w:tc>
          <w:tcPr>
            <w:tcW w:w="2126" w:type="dxa"/>
          </w:tcPr>
          <w:p w14:paraId="6A3CA4FD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wykład</w:t>
            </w:r>
          </w:p>
        </w:tc>
      </w:tr>
      <w:tr w:rsidR="002364EF" w:rsidRPr="002068F8" w14:paraId="76C0F6DB" w14:textId="77777777">
        <w:tc>
          <w:tcPr>
            <w:tcW w:w="1843" w:type="dxa"/>
          </w:tcPr>
          <w:p w14:paraId="1425856B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EK_02</w:t>
            </w:r>
          </w:p>
        </w:tc>
        <w:tc>
          <w:tcPr>
            <w:tcW w:w="5670" w:type="dxa"/>
          </w:tcPr>
          <w:p w14:paraId="7E7C2492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obserwacja w toku zajęć,</w:t>
            </w:r>
            <w:r w:rsidRPr="002068F8">
              <w:rPr>
                <w:rFonts w:ascii="Corbel" w:hAnsi="Corbel" w:cs="Corbel"/>
                <w:smallCap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>test zaliczeniowy</w:t>
            </w:r>
          </w:p>
        </w:tc>
        <w:tc>
          <w:tcPr>
            <w:tcW w:w="2126" w:type="dxa"/>
          </w:tcPr>
          <w:p w14:paraId="7B93F8E9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  <w:tr w:rsidR="002364EF" w:rsidRPr="002068F8" w14:paraId="28B90FEA" w14:textId="77777777">
        <w:tc>
          <w:tcPr>
            <w:tcW w:w="1843" w:type="dxa"/>
          </w:tcPr>
          <w:p w14:paraId="63CB2545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EK_03</w:t>
            </w:r>
          </w:p>
        </w:tc>
        <w:tc>
          <w:tcPr>
            <w:tcW w:w="5670" w:type="dxa"/>
          </w:tcPr>
          <w:p w14:paraId="0361AFB2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obserwacja w toku zajęć,</w:t>
            </w:r>
            <w:r w:rsidRPr="002068F8">
              <w:rPr>
                <w:rFonts w:ascii="Corbel" w:hAnsi="Corbel" w:cs="Corbel"/>
                <w:smallCap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>test zaliczeniowy</w:t>
            </w:r>
          </w:p>
        </w:tc>
        <w:tc>
          <w:tcPr>
            <w:tcW w:w="2126" w:type="dxa"/>
          </w:tcPr>
          <w:p w14:paraId="559DFB28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  <w:tr w:rsidR="002364EF" w:rsidRPr="002068F8" w14:paraId="485A7452" w14:textId="77777777">
        <w:tc>
          <w:tcPr>
            <w:tcW w:w="1843" w:type="dxa"/>
          </w:tcPr>
          <w:p w14:paraId="5EA44A70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EK_04</w:t>
            </w:r>
          </w:p>
        </w:tc>
        <w:tc>
          <w:tcPr>
            <w:tcW w:w="5670" w:type="dxa"/>
          </w:tcPr>
          <w:p w14:paraId="5FC8A0FF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obserwacja w toku zajęć,</w:t>
            </w:r>
            <w:r w:rsidRPr="002068F8">
              <w:rPr>
                <w:rFonts w:ascii="Corbel" w:hAnsi="Corbel" w:cs="Corbel"/>
                <w:smallCap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>test zaliczeniowy</w:t>
            </w:r>
          </w:p>
        </w:tc>
        <w:tc>
          <w:tcPr>
            <w:tcW w:w="2126" w:type="dxa"/>
          </w:tcPr>
          <w:p w14:paraId="2ED54F93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</w:tbl>
    <w:p w14:paraId="512D574A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sz w:val="22"/>
          <w:szCs w:val="22"/>
        </w:rPr>
      </w:pPr>
    </w:p>
    <w:p w14:paraId="537A8221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2364EF" w:rsidRPr="002068F8" w14:paraId="79CB042A" w14:textId="77777777">
        <w:tc>
          <w:tcPr>
            <w:tcW w:w="9670" w:type="dxa"/>
          </w:tcPr>
          <w:p w14:paraId="1DDF1A6F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Ćwiczenia: </w:t>
            </w:r>
          </w:p>
          <w:p w14:paraId="1305E420" w14:textId="77777777" w:rsidR="002364EF" w:rsidRPr="002068F8" w:rsidRDefault="002364EF" w:rsidP="002B21A0">
            <w:pPr>
              <w:numPr>
                <w:ilvl w:val="0"/>
                <w:numId w:val="6"/>
              </w:num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test zaliczeniowy</w:t>
            </w:r>
          </w:p>
          <w:p w14:paraId="640D644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Wykład: </w:t>
            </w:r>
          </w:p>
          <w:p w14:paraId="70CC2080" w14:textId="77777777" w:rsidR="002364EF" w:rsidRPr="002068F8" w:rsidRDefault="002364EF" w:rsidP="002B21A0">
            <w:pPr>
              <w:numPr>
                <w:ilvl w:val="0"/>
                <w:numId w:val="6"/>
              </w:num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egzamin pisemny składający się z testu.</w:t>
            </w:r>
          </w:p>
          <w:p w14:paraId="6207B73F" w14:textId="77777777" w:rsidR="002364EF" w:rsidRPr="002068F8" w:rsidRDefault="002364EF" w:rsidP="002068F8">
            <w:pPr>
              <w:spacing w:after="0" w:line="240" w:lineRule="auto"/>
              <w:ind w:left="36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Ocena pozytywna wymaga </w:t>
            </w:r>
            <w:r>
              <w:rPr>
                <w:rFonts w:ascii="Corbel" w:hAnsi="Corbel" w:cs="Corbel"/>
                <w:sz w:val="22"/>
                <w:szCs w:val="22"/>
              </w:rPr>
              <w:t xml:space="preserve">wykazania wiedzy odpowiadającej </w:t>
            </w:r>
            <w:r w:rsidRPr="002068F8">
              <w:rPr>
                <w:rFonts w:ascii="Corbel" w:hAnsi="Corbel" w:cs="Corbel"/>
                <w:sz w:val="22"/>
                <w:szCs w:val="22"/>
              </w:rPr>
              <w:t>co najmniej 51% materiału na teście egzaminacyjnym</w:t>
            </w:r>
          </w:p>
          <w:p w14:paraId="5D0DE9B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</w:rPr>
            </w:pPr>
          </w:p>
        </w:tc>
      </w:tr>
    </w:tbl>
    <w:p w14:paraId="7C6BA96E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494FC9A3" w14:textId="77777777" w:rsidR="002364EF" w:rsidRPr="002068F8" w:rsidRDefault="002364EF" w:rsidP="002B21A0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2068F8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2364EF" w:rsidRPr="002068F8" w14:paraId="1CEF7BA5" w14:textId="77777777">
        <w:tc>
          <w:tcPr>
            <w:tcW w:w="4962" w:type="dxa"/>
            <w:vAlign w:val="center"/>
          </w:tcPr>
          <w:p w14:paraId="14F7429E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CC3570D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Średnia liczba godzin na zrealizowanie aktywności</w:t>
            </w:r>
          </w:p>
        </w:tc>
      </w:tr>
      <w:tr w:rsidR="002364EF" w:rsidRPr="002068F8" w14:paraId="6D9D21A4" w14:textId="77777777">
        <w:tc>
          <w:tcPr>
            <w:tcW w:w="4962" w:type="dxa"/>
          </w:tcPr>
          <w:p w14:paraId="2A672E67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lastRenderedPageBreak/>
              <w:t>Godziny kontaktowe wynikające z planu  studiów</w:t>
            </w:r>
          </w:p>
        </w:tc>
        <w:tc>
          <w:tcPr>
            <w:tcW w:w="4677" w:type="dxa"/>
          </w:tcPr>
          <w:p w14:paraId="536BE781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30</w:t>
            </w:r>
          </w:p>
        </w:tc>
      </w:tr>
      <w:tr w:rsidR="002364EF" w:rsidRPr="002068F8" w14:paraId="0206E3C5" w14:textId="77777777">
        <w:tc>
          <w:tcPr>
            <w:tcW w:w="4962" w:type="dxa"/>
          </w:tcPr>
          <w:p w14:paraId="4020925B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Inne z udziałem nauczyciela</w:t>
            </w:r>
          </w:p>
          <w:p w14:paraId="3C9B779D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(udział w konsultacjach, egzaminie)</w:t>
            </w:r>
          </w:p>
        </w:tc>
        <w:tc>
          <w:tcPr>
            <w:tcW w:w="4677" w:type="dxa"/>
          </w:tcPr>
          <w:p w14:paraId="3348919C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2</w:t>
            </w:r>
          </w:p>
        </w:tc>
      </w:tr>
      <w:tr w:rsidR="002364EF" w:rsidRPr="002068F8" w14:paraId="153F8607" w14:textId="77777777">
        <w:tc>
          <w:tcPr>
            <w:tcW w:w="4962" w:type="dxa"/>
          </w:tcPr>
          <w:p w14:paraId="5D5CA4BA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Godziny niekontaktowe – praca własna studenta (przygotowanie do zajęć, egzaminu)</w:t>
            </w:r>
          </w:p>
        </w:tc>
        <w:tc>
          <w:tcPr>
            <w:tcW w:w="4677" w:type="dxa"/>
          </w:tcPr>
          <w:p w14:paraId="46285B33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43</w:t>
            </w:r>
          </w:p>
        </w:tc>
      </w:tr>
      <w:tr w:rsidR="002364EF" w:rsidRPr="002068F8" w14:paraId="101FBA91" w14:textId="77777777">
        <w:tc>
          <w:tcPr>
            <w:tcW w:w="4962" w:type="dxa"/>
          </w:tcPr>
          <w:p w14:paraId="41056D7F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SUMA GODZIN</w:t>
            </w:r>
          </w:p>
        </w:tc>
        <w:tc>
          <w:tcPr>
            <w:tcW w:w="4677" w:type="dxa"/>
          </w:tcPr>
          <w:p w14:paraId="08466866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75</w:t>
            </w:r>
          </w:p>
        </w:tc>
      </w:tr>
      <w:tr w:rsidR="002364EF" w:rsidRPr="002068F8" w14:paraId="1DC8A74A" w14:textId="77777777">
        <w:tc>
          <w:tcPr>
            <w:tcW w:w="4962" w:type="dxa"/>
          </w:tcPr>
          <w:p w14:paraId="2C451848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SUMARYCZNA LICZBA PUNKTÓW ECTS</w:t>
            </w:r>
          </w:p>
        </w:tc>
        <w:tc>
          <w:tcPr>
            <w:tcW w:w="4677" w:type="dxa"/>
          </w:tcPr>
          <w:p w14:paraId="71C14032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3</w:t>
            </w:r>
          </w:p>
        </w:tc>
      </w:tr>
    </w:tbl>
    <w:p w14:paraId="35C695BB" w14:textId="77777777" w:rsidR="002364EF" w:rsidRPr="002068F8" w:rsidRDefault="002364EF" w:rsidP="002068F8">
      <w:pPr>
        <w:pStyle w:val="Punktygwne"/>
        <w:spacing w:before="0" w:after="0"/>
        <w:ind w:left="426" w:hanging="426"/>
        <w:rPr>
          <w:rFonts w:ascii="Corbel" w:hAnsi="Corbel" w:cs="Corbel"/>
          <w:b w:val="0"/>
          <w:bCs w:val="0"/>
          <w:i/>
          <w:iCs/>
          <w:sz w:val="22"/>
          <w:szCs w:val="22"/>
        </w:rPr>
      </w:pPr>
      <w:r w:rsidRPr="002068F8">
        <w:rPr>
          <w:rFonts w:ascii="Corbel" w:hAnsi="Corbel" w:cs="Corbel"/>
          <w:b w:val="0"/>
          <w:bCs w:val="0"/>
          <w:i/>
          <w:iCs/>
          <w:sz w:val="22"/>
          <w:szCs w:val="22"/>
        </w:rPr>
        <w:t>* Należy uwzględnić, że 1 pkt ECTS odpowiada 25-30 godzin całkowitego nakładu pracy studenta.</w:t>
      </w:r>
    </w:p>
    <w:p w14:paraId="1E6AE43A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z w:val="22"/>
          <w:szCs w:val="22"/>
        </w:rPr>
      </w:pPr>
    </w:p>
    <w:p w14:paraId="05C24EE1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2364EF" w:rsidRPr="002068F8" w14:paraId="315F12C3" w14:textId="77777777">
        <w:trPr>
          <w:trHeight w:val="397"/>
        </w:trPr>
        <w:tc>
          <w:tcPr>
            <w:tcW w:w="2359" w:type="pct"/>
          </w:tcPr>
          <w:p w14:paraId="0A58BDFF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wymiar godzinowy</w:t>
            </w:r>
          </w:p>
        </w:tc>
        <w:tc>
          <w:tcPr>
            <w:tcW w:w="2641" w:type="pct"/>
          </w:tcPr>
          <w:p w14:paraId="097D9238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2364EF" w:rsidRPr="002068F8" w14:paraId="409FFBF2" w14:textId="77777777">
        <w:trPr>
          <w:trHeight w:val="397"/>
        </w:trPr>
        <w:tc>
          <w:tcPr>
            <w:tcW w:w="2359" w:type="pct"/>
          </w:tcPr>
          <w:p w14:paraId="275F80F5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5E300BC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-</w:t>
            </w:r>
          </w:p>
        </w:tc>
      </w:tr>
    </w:tbl>
    <w:p w14:paraId="54914FF9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65B5F439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06716B6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2068F8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p w14:paraId="5DDEFC16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80"/>
      </w:tblGrid>
      <w:tr w:rsidR="002364EF" w:rsidRPr="002068F8" w14:paraId="5BE27B1C" w14:textId="77777777">
        <w:trPr>
          <w:trHeight w:val="397"/>
        </w:trPr>
        <w:tc>
          <w:tcPr>
            <w:tcW w:w="9180" w:type="dxa"/>
          </w:tcPr>
          <w:p w14:paraId="4E79CC2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3198FCA9" w14:textId="77777777" w:rsidR="002364EF" w:rsidRPr="002068F8" w:rsidRDefault="002364EF" w:rsidP="002B21A0">
            <w:pPr>
              <w:pStyle w:val="Akapitzlist"/>
              <w:numPr>
                <w:ilvl w:val="0"/>
                <w:numId w:val="7"/>
              </w:numPr>
              <w:shd w:val="clear" w:color="auto" w:fill="F9F9F9"/>
              <w:spacing w:after="0" w:line="240" w:lineRule="auto"/>
              <w:ind w:left="311" w:hanging="284"/>
              <w:textAlignment w:val="baseline"/>
              <w:rPr>
                <w:rFonts w:ascii="Corbel" w:eastAsia="Batang" w:hAnsi="Corbel" w:cs="Corbel"/>
                <w:lang w:eastAsia="ko-KR"/>
              </w:rPr>
            </w:pP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 xml:space="preserve">Harasim J., Bankowość detaliczna w Polsce, </w:t>
            </w:r>
            <w:proofErr w:type="spellStart"/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CeDeWu</w:t>
            </w:r>
            <w:proofErr w:type="spellEnd"/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, Warszawa 2005</w:t>
            </w:r>
          </w:p>
          <w:p w14:paraId="55219DBC" w14:textId="77777777" w:rsidR="002364EF" w:rsidRPr="002068F8" w:rsidRDefault="002364EF" w:rsidP="002B21A0">
            <w:pPr>
              <w:pStyle w:val="Akapitzlist"/>
              <w:numPr>
                <w:ilvl w:val="0"/>
                <w:numId w:val="7"/>
              </w:numPr>
              <w:shd w:val="clear" w:color="auto" w:fill="F9F9F9"/>
              <w:spacing w:after="0" w:line="240" w:lineRule="auto"/>
              <w:ind w:left="311" w:hanging="284"/>
              <w:textAlignment w:val="baseline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Zaleska M. (red.), Współczesna bankowość. Teoria i praktyka.</w:t>
            </w:r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 xml:space="preserve">Tom 1, </w:t>
            </w:r>
            <w:proofErr w:type="spellStart"/>
            <w:r w:rsidRPr="002068F8">
              <w:rPr>
                <w:rFonts w:ascii="Corbel" w:hAnsi="Corbel" w:cs="Corbel"/>
                <w:sz w:val="22"/>
                <w:szCs w:val="22"/>
              </w:rPr>
              <w:t>Difin</w:t>
            </w:r>
            <w:proofErr w:type="spellEnd"/>
            <w:r w:rsidRPr="002068F8">
              <w:rPr>
                <w:rFonts w:ascii="Corbel" w:hAnsi="Corbel" w:cs="Corbel"/>
                <w:sz w:val="22"/>
                <w:szCs w:val="22"/>
              </w:rPr>
              <w:t xml:space="preserve">, Warszawa 2007. </w:t>
            </w:r>
          </w:p>
          <w:p w14:paraId="05AD13EF" w14:textId="77777777" w:rsidR="002364EF" w:rsidRPr="002068F8" w:rsidRDefault="002364EF" w:rsidP="002B21A0">
            <w:pPr>
              <w:pStyle w:val="Punktygwne"/>
              <w:numPr>
                <w:ilvl w:val="0"/>
                <w:numId w:val="7"/>
              </w:numPr>
              <w:spacing w:before="0" w:after="0"/>
              <w:ind w:left="311" w:hanging="284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Wiatr M. S., Bankowość korporacyjna, wydanie II, </w:t>
            </w:r>
            <w:proofErr w:type="spellStart"/>
            <w:r w:rsidRPr="002068F8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Difin</w:t>
            </w:r>
            <w:proofErr w:type="spellEnd"/>
            <w:r w:rsidRPr="002068F8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, Warszawa 2015</w:t>
            </w:r>
          </w:p>
        </w:tc>
      </w:tr>
      <w:tr w:rsidR="002364EF" w:rsidRPr="002068F8" w14:paraId="5C64FC8C" w14:textId="77777777">
        <w:trPr>
          <w:trHeight w:val="397"/>
        </w:trPr>
        <w:tc>
          <w:tcPr>
            <w:tcW w:w="9180" w:type="dxa"/>
          </w:tcPr>
          <w:p w14:paraId="1A99BF5C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Literatura uzupełniająca: </w:t>
            </w:r>
          </w:p>
          <w:p w14:paraId="174EEC43" w14:textId="77777777" w:rsidR="002364EF" w:rsidRPr="002068F8" w:rsidRDefault="002364EF" w:rsidP="002B21A0">
            <w:pPr>
              <w:pStyle w:val="Punktygwne"/>
              <w:numPr>
                <w:ilvl w:val="0"/>
                <w:numId w:val="8"/>
              </w:numPr>
              <w:spacing w:before="0" w:after="0"/>
              <w:ind w:left="311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Stachurska-Targosz J. (red.), Bankowość korporacyjna i inwestycyjna, WSB, Poznań 2005.</w:t>
            </w:r>
          </w:p>
          <w:p w14:paraId="49CA96E3" w14:textId="77777777" w:rsidR="002364EF" w:rsidRPr="002068F8" w:rsidRDefault="002364EF" w:rsidP="002B21A0">
            <w:pPr>
              <w:pStyle w:val="Akapitzlist"/>
              <w:numPr>
                <w:ilvl w:val="0"/>
                <w:numId w:val="8"/>
              </w:numPr>
              <w:shd w:val="clear" w:color="auto" w:fill="F9F9F9"/>
              <w:spacing w:after="0" w:line="240" w:lineRule="auto"/>
              <w:ind w:left="311" w:hanging="284"/>
              <w:jc w:val="both"/>
              <w:textAlignment w:val="baseline"/>
              <w:rPr>
                <w:rFonts w:ascii="Corbel" w:eastAsia="Batang" w:hAnsi="Corbel" w:cs="Corbel"/>
                <w:lang w:eastAsia="ko-KR"/>
              </w:rPr>
            </w:pP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 xml:space="preserve">Szelągowska A. (red.), Współczesna bankowość korporacyjna, </w:t>
            </w:r>
            <w:proofErr w:type="spellStart"/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CeDeWu</w:t>
            </w:r>
            <w:proofErr w:type="spellEnd"/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, Warszawa 2011.</w:t>
            </w:r>
          </w:p>
          <w:p w14:paraId="7C0B666A" w14:textId="77777777" w:rsidR="002364EF" w:rsidRPr="002068F8" w:rsidRDefault="002364EF" w:rsidP="002B21A0">
            <w:pPr>
              <w:pStyle w:val="Punktygwne"/>
              <w:numPr>
                <w:ilvl w:val="0"/>
                <w:numId w:val="8"/>
              </w:numPr>
              <w:spacing w:before="0" w:after="0"/>
              <w:ind w:left="311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2068F8">
              <w:rPr>
                <w:rFonts w:ascii="Corbel" w:eastAsia="Batang" w:hAnsi="Corbel" w:cs="Corbel"/>
                <w:b w:val="0"/>
                <w:bCs w:val="0"/>
                <w:smallCaps w:val="0"/>
                <w:sz w:val="22"/>
                <w:szCs w:val="22"/>
              </w:rPr>
              <w:t xml:space="preserve">Szelągowska A. (red.), Współczesna bankowość detaliczna, </w:t>
            </w:r>
            <w:proofErr w:type="spellStart"/>
            <w:r w:rsidRPr="002068F8">
              <w:rPr>
                <w:rFonts w:ascii="Corbel" w:eastAsia="Batang" w:hAnsi="Corbel" w:cs="Corbel"/>
                <w:b w:val="0"/>
                <w:bCs w:val="0"/>
                <w:smallCaps w:val="0"/>
                <w:sz w:val="22"/>
                <w:szCs w:val="22"/>
              </w:rPr>
              <w:t>CeDeWu</w:t>
            </w:r>
            <w:proofErr w:type="spellEnd"/>
            <w:r w:rsidRPr="002068F8">
              <w:rPr>
                <w:rFonts w:ascii="Corbel" w:eastAsia="Batang" w:hAnsi="Corbel" w:cs="Corbel"/>
                <w:b w:val="0"/>
                <w:bCs w:val="0"/>
                <w:smallCaps w:val="0"/>
                <w:sz w:val="22"/>
                <w:szCs w:val="22"/>
              </w:rPr>
              <w:t>, Warszawa 2010.</w:t>
            </w:r>
          </w:p>
        </w:tc>
      </w:tr>
    </w:tbl>
    <w:p w14:paraId="2939736F" w14:textId="77777777" w:rsidR="002364EF" w:rsidRPr="002068F8" w:rsidRDefault="002364EF" w:rsidP="002B21A0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z w:val="22"/>
          <w:szCs w:val="22"/>
        </w:rPr>
      </w:pPr>
    </w:p>
    <w:p w14:paraId="1C0E245F" w14:textId="77777777" w:rsidR="002364EF" w:rsidRPr="009C54AE" w:rsidRDefault="002364EF" w:rsidP="002068F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65960915" w14:textId="77777777" w:rsidR="002364EF" w:rsidRPr="002B21A0" w:rsidRDefault="002364EF" w:rsidP="002B21A0"/>
    <w:sectPr w:rsidR="002364EF" w:rsidRPr="002B21A0" w:rsidSect="00D769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4B7C86"/>
    <w:multiLevelType w:val="hybridMultilevel"/>
    <w:tmpl w:val="AC92EC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E37207"/>
    <w:multiLevelType w:val="hybridMultilevel"/>
    <w:tmpl w:val="F47CF34C"/>
    <w:lvl w:ilvl="0" w:tplc="49DE32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8C5730"/>
    <w:multiLevelType w:val="hybridMultilevel"/>
    <w:tmpl w:val="4D3092F2"/>
    <w:lvl w:ilvl="0" w:tplc="695A0C98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90549E"/>
    <w:multiLevelType w:val="hybridMultilevel"/>
    <w:tmpl w:val="DAE66C68"/>
    <w:lvl w:ilvl="0" w:tplc="555E590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85EC3"/>
    <w:multiLevelType w:val="hybridMultilevel"/>
    <w:tmpl w:val="56FA2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1C71FF1"/>
    <w:multiLevelType w:val="hybridMultilevel"/>
    <w:tmpl w:val="1210639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228E"/>
    <w:rsid w:val="000D3AB4"/>
    <w:rsid w:val="000E68A5"/>
    <w:rsid w:val="001375AF"/>
    <w:rsid w:val="001D07B4"/>
    <w:rsid w:val="002068F8"/>
    <w:rsid w:val="002364EF"/>
    <w:rsid w:val="002B21A0"/>
    <w:rsid w:val="002E38BC"/>
    <w:rsid w:val="00431887"/>
    <w:rsid w:val="004A04C9"/>
    <w:rsid w:val="004B228E"/>
    <w:rsid w:val="005C1650"/>
    <w:rsid w:val="006C1B55"/>
    <w:rsid w:val="007942B7"/>
    <w:rsid w:val="008132E9"/>
    <w:rsid w:val="0083242D"/>
    <w:rsid w:val="009B146A"/>
    <w:rsid w:val="009C54AE"/>
    <w:rsid w:val="009E7A85"/>
    <w:rsid w:val="00B21EB8"/>
    <w:rsid w:val="00B266A2"/>
    <w:rsid w:val="00CB71BB"/>
    <w:rsid w:val="00CF48E1"/>
    <w:rsid w:val="00D735DB"/>
    <w:rsid w:val="00D7699A"/>
    <w:rsid w:val="00EA4832"/>
    <w:rsid w:val="07F2CB45"/>
    <w:rsid w:val="0EF9BC69"/>
    <w:rsid w:val="3D6E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069816"/>
  <w15:docId w15:val="{6C77A936-4629-4BE2-B2C2-AABECAFB1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B228E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B228E"/>
    <w:pPr>
      <w:ind w:left="720"/>
    </w:pPr>
  </w:style>
  <w:style w:type="paragraph" w:customStyle="1" w:styleId="Default">
    <w:name w:val="Default"/>
    <w:uiPriority w:val="99"/>
    <w:rsid w:val="004B228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4B228E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4B228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4B228E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4B228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bCs/>
    </w:rPr>
  </w:style>
  <w:style w:type="paragraph" w:customStyle="1" w:styleId="Cele">
    <w:name w:val="Cele"/>
    <w:basedOn w:val="Tekstpodstawowy"/>
    <w:uiPriority w:val="99"/>
    <w:rsid w:val="004B228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4B228E"/>
  </w:style>
  <w:style w:type="paragraph" w:customStyle="1" w:styleId="centralniewrubryce">
    <w:name w:val="centralnie w rubryce"/>
    <w:basedOn w:val="Normalny"/>
    <w:uiPriority w:val="99"/>
    <w:rsid w:val="004B228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4B228E"/>
    <w:rPr>
      <w:rFonts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4B228E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4B228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40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FF2FB3-54CA-485B-8D60-CE7480CD5A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A6EAF8-948C-45A1-86D6-6D8CFAC3A8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B29940-E101-42C4-90A0-3A42226AA1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1060</Words>
  <Characters>6361</Characters>
  <Application>Microsoft Office Word</Application>
  <DocSecurity>0</DocSecurity>
  <Lines>53</Lines>
  <Paragraphs>14</Paragraphs>
  <ScaleCrop>false</ScaleCrop>
  <Company>Właściciel</Company>
  <LinksUpToDate>false</LinksUpToDate>
  <CharactersWithSpaces>7407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Ekon</dc:creator>
  <cp:keywords/>
  <dc:description/>
  <cp:lastModifiedBy>Lencka Elżbieta</cp:lastModifiedBy>
  <cp:revision>14</cp:revision>
  <dcterms:created xsi:type="dcterms:W3CDTF">2021-01-26T19:57:00Z</dcterms:created>
  <dcterms:modified xsi:type="dcterms:W3CDTF">2021-11-04T13:15:00Z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